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val="0"/>
        <w:snapToGrid w:val="0"/>
        <w:spacing w:before="450" w:beforeAutospacing="0" w:after="0" w:afterAutospacing="0" w:line="220" w:lineRule="exact"/>
        <w:ind w:left="0" w:right="0"/>
        <w:jc w:val="center"/>
        <w:textAlignment w:val="auto"/>
        <w:rPr>
          <w:rFonts w:hint="eastAsia" w:ascii="微软雅黑" w:hAnsi="微软雅黑" w:eastAsia="微软雅黑" w:cs="微软雅黑"/>
          <w:color w:val="333333"/>
          <w:sz w:val="45"/>
          <w:szCs w:val="45"/>
          <w:lang w:val="en-US" w:eastAsia="zh-CN"/>
        </w:rPr>
      </w:pPr>
      <w:r>
        <w:rPr>
          <w:rFonts w:hint="eastAsia" w:ascii="微软雅黑" w:hAnsi="微软雅黑" w:eastAsia="微软雅黑" w:cs="微软雅黑"/>
          <w:color w:val="333333"/>
          <w:sz w:val="45"/>
          <w:szCs w:val="45"/>
          <w:lang w:val="en-US" w:eastAsia="zh-CN"/>
        </w:rPr>
        <w:t>长汀县阳光交易服务平台</w:t>
      </w:r>
    </w:p>
    <w:p>
      <w:pPr>
        <w:pStyle w:val="2"/>
        <w:keepNext w:val="0"/>
        <w:keepLines w:val="0"/>
        <w:pageBreakBefore w:val="0"/>
        <w:widowControl/>
        <w:suppressLineNumbers w:val="0"/>
        <w:kinsoku/>
        <w:wordWrap/>
        <w:overflowPunct/>
        <w:topLinePunct w:val="0"/>
        <w:autoSpaceDE/>
        <w:autoSpaceDN/>
        <w:bidi w:val="0"/>
        <w:adjustRightInd w:val="0"/>
        <w:snapToGrid w:val="0"/>
        <w:spacing w:before="450" w:beforeAutospacing="0" w:after="0" w:afterAutospacing="0" w:line="220" w:lineRule="exact"/>
        <w:ind w:left="0" w:right="0"/>
        <w:jc w:val="center"/>
        <w:textAlignment w:val="auto"/>
        <w:rPr>
          <w:rFonts w:ascii="微软雅黑" w:hAnsi="微软雅黑" w:eastAsia="微软雅黑" w:cs="微软雅黑"/>
          <w:color w:val="333333"/>
          <w:sz w:val="45"/>
          <w:szCs w:val="45"/>
        </w:rPr>
      </w:pPr>
      <w:r>
        <w:rPr>
          <w:rFonts w:hint="eastAsia" w:ascii="微软雅黑" w:hAnsi="微软雅黑" w:eastAsia="微软雅黑" w:cs="微软雅黑"/>
          <w:color w:val="333333"/>
          <w:sz w:val="45"/>
          <w:szCs w:val="45"/>
          <w:lang w:eastAsia="zh-CN"/>
        </w:rPr>
        <w:t>办理</w:t>
      </w:r>
      <w:bookmarkStart w:id="0" w:name="_GoBack"/>
      <w:bookmarkEnd w:id="0"/>
      <w:r>
        <w:rPr>
          <w:rFonts w:hint="eastAsia" w:ascii="微软雅黑" w:hAnsi="微软雅黑" w:eastAsia="微软雅黑" w:cs="微软雅黑"/>
          <w:color w:val="333333"/>
          <w:sz w:val="45"/>
          <w:szCs w:val="45"/>
          <w:lang w:eastAsia="zh-CN"/>
        </w:rPr>
        <w:t>投标</w:t>
      </w:r>
      <w:r>
        <w:rPr>
          <w:rFonts w:hint="eastAsia" w:ascii="微软雅黑" w:hAnsi="微软雅黑" w:eastAsia="微软雅黑" w:cs="微软雅黑"/>
          <w:color w:val="333333"/>
          <w:sz w:val="45"/>
          <w:szCs w:val="45"/>
        </w:rPr>
        <w:t>保证金退款一次性告知单</w:t>
      </w:r>
    </w:p>
    <w:p>
      <w:pPr>
        <w:pStyle w:val="3"/>
        <w:keepNext w:val="0"/>
        <w:keepLines w:val="0"/>
        <w:widowControl/>
        <w:suppressLineNumbers w:val="0"/>
        <w:spacing w:before="0" w:beforeAutospacing="0" w:after="0" w:afterAutospacing="0"/>
        <w:ind w:left="0" w:right="0"/>
        <w:jc w:val="both"/>
        <w:rPr>
          <w:rFonts w:ascii="黑体" w:hAnsi="宋体" w:eastAsia="黑体" w:cs="黑体"/>
          <w:b w:val="0"/>
          <w:bCs w:val="0"/>
          <w:sz w:val="32"/>
          <w:szCs w:val="32"/>
        </w:rPr>
      </w:pPr>
    </w:p>
    <w:p>
      <w:pPr>
        <w:pStyle w:val="3"/>
        <w:keepNext w:val="0"/>
        <w:keepLines w:val="0"/>
        <w:widowControl/>
        <w:suppressLineNumbers w:val="0"/>
        <w:spacing w:before="0" w:beforeAutospacing="0" w:after="0" w:afterAutospacing="0"/>
        <w:ind w:left="0" w:right="0"/>
        <w:jc w:val="both"/>
        <w:rPr>
          <w:rFonts w:ascii="Calibri" w:hAnsi="Calibri" w:cs="Calibri"/>
          <w:sz w:val="21"/>
          <w:szCs w:val="21"/>
        </w:rPr>
      </w:pPr>
      <w:r>
        <w:rPr>
          <w:rFonts w:ascii="黑体" w:hAnsi="宋体" w:eastAsia="黑体" w:cs="黑体"/>
          <w:b w:val="0"/>
          <w:bCs w:val="0"/>
          <w:sz w:val="32"/>
          <w:szCs w:val="32"/>
        </w:rPr>
        <w:t>一、办事流程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lang w:val="en-US" w:eastAsia="zh-CN" w:bidi="ar"/>
        </w:rPr>
        <w:drawing>
          <wp:inline distT="0" distB="0" distL="114300" distR="114300">
            <wp:extent cx="5781675" cy="4353560"/>
            <wp:effectExtent l="0" t="0" r="9525" b="889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5781675" cy="4353560"/>
                    </a:xfrm>
                    <a:prstGeom prst="rect">
                      <a:avLst/>
                    </a:prstGeom>
                    <a:noFill/>
                    <a:ln w="9525">
                      <a:noFill/>
                    </a:ln>
                  </pic:spPr>
                </pic:pic>
              </a:graphicData>
            </a:graphic>
          </wp:inline>
        </w:drawing>
      </w:r>
    </w:p>
    <w:p>
      <w:pPr>
        <w:pStyle w:val="3"/>
        <w:keepNext w:val="0"/>
        <w:keepLines w:val="0"/>
        <w:widowControl/>
        <w:suppressLineNumbers w:val="0"/>
        <w:spacing w:before="0" w:beforeAutospacing="0" w:after="0" w:afterAutospacing="0"/>
        <w:ind w:left="0" w:right="0"/>
        <w:jc w:val="both"/>
        <w:rPr>
          <w:rFonts w:hint="default" w:ascii="Calibri" w:hAnsi="Calibri" w:cs="Calibri"/>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黑体" w:hAnsi="宋体" w:eastAsia="黑体" w:cs="黑体"/>
          <w:kern w:val="2"/>
          <w:sz w:val="32"/>
          <w:szCs w:val="32"/>
          <w:lang w:val="en-US" w:eastAsia="zh-CN" w:bidi="ar"/>
        </w:rPr>
        <w:t>二、所需材料（以下未标注的收取原件）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both"/>
      </w:pPr>
      <w:r>
        <w:rPr>
          <w:rFonts w:ascii="仿宋" w:hAnsi="仿宋" w:eastAsia="仿宋" w:cs="仿宋"/>
          <w:kern w:val="0"/>
          <w:sz w:val="32"/>
          <w:szCs w:val="32"/>
        </w:rPr>
        <w:t>（一）</w:t>
      </w:r>
      <w:r>
        <w:rPr>
          <w:rFonts w:ascii="仿宋_GB2312" w:hAnsi="Calibri" w:eastAsia="仿宋_GB2312" w:cs="仿宋_GB2312"/>
          <w:kern w:val="0"/>
          <w:sz w:val="32"/>
          <w:szCs w:val="32"/>
        </w:rPr>
        <w:t>在</w:t>
      </w:r>
      <w:r>
        <w:rPr>
          <w:rFonts w:hint="eastAsia" w:ascii="仿宋_GB2312" w:hAnsi="Calibri" w:eastAsia="仿宋_GB2312" w:cs="仿宋_GB2312"/>
          <w:kern w:val="0"/>
          <w:sz w:val="32"/>
          <w:szCs w:val="32"/>
        </w:rPr>
        <w:t>招标文件规定的投标保证金提交时间前转入的投标保证金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仿宋_GB2312" w:hAnsi="Calibri" w:eastAsia="仿宋_GB2312" w:cs="仿宋_GB2312"/>
          <w:kern w:val="0"/>
          <w:sz w:val="32"/>
          <w:szCs w:val="32"/>
          <w:lang w:val="en-US" w:eastAsia="zh-CN" w:bidi="ar"/>
        </w:rPr>
        <w:t>1、招标人（招标代理单位）应在中标结果公示期结束后的5日内(因投标人异议或投诉可能造成重新评标的，在异议或投诉处理完后5日内），在系统内提交中标候选人以外的投标人的投标保证金退款申请。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仿宋_GB2312" w:hAnsi="Calibri" w:eastAsia="仿宋_GB2312" w:cs="仿宋_GB2312"/>
          <w:kern w:val="0"/>
          <w:sz w:val="32"/>
          <w:szCs w:val="32"/>
          <w:lang w:val="en-US" w:eastAsia="zh-CN" w:bidi="ar"/>
        </w:rPr>
        <w:t>2、招标人（招标代理单位）应在招标人在与中标人签订合同后的三日内，在系统内提交中标人以及其他中标候选人的投标保证金退款申请。</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both"/>
      </w:pPr>
      <w:r>
        <w:rPr>
          <w:rFonts w:hint="eastAsia" w:ascii="仿宋_GB2312" w:hAnsi="Calibri" w:eastAsia="仿宋_GB2312" w:cs="仿宋_GB2312"/>
          <w:kern w:val="0"/>
          <w:sz w:val="32"/>
          <w:szCs w:val="32"/>
        </w:rPr>
        <w:t>（二）正常转入投标保证金但涉及公司名称变更或企业的银行基本存款账户信息（开户许可证）变更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both"/>
      </w:pPr>
      <w:r>
        <w:rPr>
          <w:rFonts w:hint="eastAsia" w:ascii="仿宋" w:hAnsi="仿宋" w:eastAsia="仿宋" w:cs="仿宋"/>
          <w:kern w:val="0"/>
          <w:sz w:val="32"/>
          <w:szCs w:val="32"/>
        </w:rPr>
        <w:t>1、</w:t>
      </w:r>
      <w:r>
        <w:rPr>
          <w:rFonts w:hint="eastAsia" w:ascii="仿宋_GB2312" w:hAnsi="Calibri" w:eastAsia="仿宋_GB2312" w:cs="仿宋_GB2312"/>
          <w:kern w:val="0"/>
          <w:sz w:val="32"/>
          <w:szCs w:val="32"/>
          <w:lang w:eastAsia="zh-CN"/>
        </w:rPr>
        <w:t>长汀县阳光交易服务平台</w:t>
      </w:r>
      <w:r>
        <w:rPr>
          <w:rFonts w:hint="eastAsia" w:ascii="仿宋_GB2312" w:hAnsi="Calibri" w:eastAsia="仿宋_GB2312" w:cs="仿宋_GB2312"/>
          <w:kern w:val="0"/>
          <w:sz w:val="32"/>
          <w:szCs w:val="32"/>
        </w:rPr>
        <w:t>保证金退款申请表（详见附件）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both"/>
      </w:pPr>
      <w:r>
        <w:rPr>
          <w:rFonts w:hint="eastAsia" w:ascii="仿宋" w:hAnsi="仿宋" w:eastAsia="仿宋" w:cs="仿宋"/>
          <w:kern w:val="0"/>
          <w:sz w:val="32"/>
          <w:szCs w:val="32"/>
        </w:rPr>
        <w:t>2、</w:t>
      </w:r>
      <w:r>
        <w:rPr>
          <w:rFonts w:hint="eastAsia" w:ascii="仿宋_GB2312" w:hAnsi="Calibri" w:eastAsia="仿宋_GB2312" w:cs="仿宋_GB2312"/>
          <w:kern w:val="0"/>
          <w:sz w:val="32"/>
          <w:szCs w:val="32"/>
        </w:rPr>
        <w:t>电汇或银行转账的银行回执单（加盖企业公章）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both"/>
      </w:pPr>
      <w:r>
        <w:rPr>
          <w:rFonts w:hint="eastAsia" w:ascii="仿宋" w:hAnsi="仿宋" w:eastAsia="仿宋" w:cs="仿宋"/>
          <w:kern w:val="0"/>
          <w:sz w:val="32"/>
          <w:szCs w:val="32"/>
        </w:rPr>
        <w:t>3、</w:t>
      </w:r>
      <w:r>
        <w:rPr>
          <w:rFonts w:hint="eastAsia" w:ascii="仿宋_GB2312" w:hAnsi="Calibri" w:eastAsia="仿宋_GB2312" w:cs="仿宋_GB2312"/>
          <w:kern w:val="0"/>
          <w:sz w:val="32"/>
          <w:szCs w:val="32"/>
        </w:rPr>
        <w:t>企业的银行基本存款账户信息或开户许可证复印件（加盖投标企业公章）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both"/>
      </w:pPr>
      <w:r>
        <w:rPr>
          <w:rFonts w:hint="eastAsia" w:ascii="仿宋" w:hAnsi="仿宋" w:eastAsia="仿宋" w:cs="仿宋"/>
          <w:kern w:val="0"/>
          <w:sz w:val="32"/>
          <w:szCs w:val="32"/>
        </w:rPr>
        <w:t>4、</w:t>
      </w:r>
      <w:r>
        <w:rPr>
          <w:rFonts w:hint="eastAsia" w:ascii="仿宋_GB2312" w:hAnsi="Calibri" w:eastAsia="仿宋_GB2312" w:cs="仿宋_GB2312"/>
          <w:kern w:val="0"/>
          <w:sz w:val="32"/>
          <w:szCs w:val="32"/>
        </w:rPr>
        <w:t>公司名称变更或企业的银行基本存款账户信息（开户许可证）变更的材料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both"/>
      </w:pPr>
      <w:r>
        <w:rPr>
          <w:rFonts w:hint="eastAsia" w:ascii="仿宋" w:hAnsi="仿宋" w:eastAsia="仿宋" w:cs="仿宋"/>
          <w:kern w:val="0"/>
          <w:sz w:val="32"/>
          <w:szCs w:val="32"/>
        </w:rPr>
        <w:t>（三）</w:t>
      </w:r>
      <w:r>
        <w:rPr>
          <w:rFonts w:hint="eastAsia" w:ascii="仿宋_GB2312" w:hAnsi="Calibri" w:eastAsia="仿宋_GB2312" w:cs="仿宋_GB2312"/>
          <w:kern w:val="0"/>
          <w:sz w:val="32"/>
          <w:szCs w:val="32"/>
        </w:rPr>
        <w:t>在招标文件规定的投标保证金提交时间后转入的投标保证金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both"/>
      </w:pPr>
      <w:r>
        <w:rPr>
          <w:rFonts w:hint="eastAsia" w:ascii="仿宋" w:hAnsi="仿宋" w:eastAsia="仿宋" w:cs="仿宋"/>
          <w:kern w:val="0"/>
          <w:sz w:val="32"/>
          <w:szCs w:val="32"/>
        </w:rPr>
        <w:t>1、</w:t>
      </w:r>
      <w:r>
        <w:rPr>
          <w:rFonts w:hint="eastAsia" w:ascii="仿宋_GB2312" w:hAnsi="Calibri" w:eastAsia="仿宋_GB2312" w:cs="仿宋_GB2312"/>
          <w:kern w:val="0"/>
          <w:sz w:val="32"/>
          <w:szCs w:val="32"/>
          <w:lang w:eastAsia="zh-CN"/>
        </w:rPr>
        <w:t>长汀县阳光交易服务平台</w:t>
      </w:r>
      <w:r>
        <w:rPr>
          <w:rFonts w:hint="eastAsia" w:ascii="仿宋_GB2312" w:hAnsi="Calibri" w:eastAsia="仿宋_GB2312" w:cs="仿宋_GB2312"/>
          <w:kern w:val="0"/>
          <w:sz w:val="32"/>
          <w:szCs w:val="32"/>
        </w:rPr>
        <w:t>保证金退款申请表（详见附件）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both"/>
      </w:pPr>
      <w:r>
        <w:rPr>
          <w:rFonts w:hint="eastAsia" w:ascii="仿宋" w:hAnsi="仿宋" w:eastAsia="仿宋" w:cs="仿宋"/>
          <w:kern w:val="0"/>
          <w:sz w:val="32"/>
          <w:szCs w:val="32"/>
        </w:rPr>
        <w:t>2、</w:t>
      </w:r>
      <w:r>
        <w:rPr>
          <w:rFonts w:hint="eastAsia" w:ascii="仿宋_GB2312" w:hAnsi="Calibri" w:eastAsia="仿宋_GB2312" w:cs="仿宋_GB2312"/>
          <w:kern w:val="0"/>
          <w:sz w:val="32"/>
          <w:szCs w:val="32"/>
        </w:rPr>
        <w:t>电汇或银行转账的银行回执单（加盖企业公章）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both"/>
      </w:pPr>
      <w:r>
        <w:rPr>
          <w:rFonts w:hint="eastAsia" w:ascii="仿宋" w:hAnsi="仿宋" w:eastAsia="仿宋" w:cs="仿宋"/>
          <w:kern w:val="0"/>
          <w:sz w:val="32"/>
          <w:szCs w:val="32"/>
        </w:rPr>
        <w:t>3、</w:t>
      </w:r>
      <w:r>
        <w:rPr>
          <w:rFonts w:hint="eastAsia" w:ascii="仿宋_GB2312" w:hAnsi="Calibri" w:eastAsia="仿宋_GB2312" w:cs="仿宋_GB2312"/>
          <w:kern w:val="0"/>
          <w:sz w:val="32"/>
          <w:szCs w:val="32"/>
        </w:rPr>
        <w:t>企业的银行基本存款账户信息或开户许可证复印件（加盖投标企业公章）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both"/>
      </w:pPr>
      <w:r>
        <w:rPr>
          <w:rFonts w:hint="eastAsia" w:ascii="仿宋_GB2312" w:hAnsi="Calibri" w:eastAsia="仿宋_GB2312" w:cs="仿宋_GB2312"/>
          <w:kern w:val="0"/>
          <w:sz w:val="32"/>
          <w:szCs w:val="32"/>
        </w:rPr>
        <w:t>（四）转错保证金账户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both"/>
      </w:pPr>
      <w:r>
        <w:rPr>
          <w:rFonts w:hint="eastAsia" w:ascii="仿宋" w:hAnsi="仿宋" w:eastAsia="仿宋" w:cs="仿宋"/>
          <w:kern w:val="0"/>
          <w:sz w:val="32"/>
          <w:szCs w:val="32"/>
        </w:rPr>
        <w:t>1、</w:t>
      </w:r>
      <w:r>
        <w:rPr>
          <w:rFonts w:hint="eastAsia" w:ascii="仿宋_GB2312" w:hAnsi="Calibri" w:eastAsia="仿宋_GB2312" w:cs="仿宋_GB2312"/>
          <w:kern w:val="0"/>
          <w:sz w:val="32"/>
          <w:szCs w:val="32"/>
          <w:lang w:eastAsia="zh-CN"/>
        </w:rPr>
        <w:t>长汀县阳光交易服务平台</w:t>
      </w:r>
      <w:r>
        <w:rPr>
          <w:rFonts w:hint="eastAsia" w:ascii="仿宋_GB2312" w:hAnsi="Calibri" w:eastAsia="仿宋_GB2312" w:cs="仿宋_GB2312"/>
          <w:kern w:val="0"/>
          <w:sz w:val="32"/>
          <w:szCs w:val="32"/>
        </w:rPr>
        <w:t>保证金退款申请表（详见附件）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both"/>
      </w:pPr>
      <w:r>
        <w:rPr>
          <w:rFonts w:hint="eastAsia" w:ascii="仿宋" w:hAnsi="仿宋" w:eastAsia="仿宋" w:cs="仿宋"/>
          <w:kern w:val="0"/>
          <w:sz w:val="32"/>
          <w:szCs w:val="32"/>
        </w:rPr>
        <w:t>2、</w:t>
      </w:r>
      <w:r>
        <w:rPr>
          <w:rFonts w:hint="eastAsia" w:ascii="仿宋_GB2312" w:hAnsi="Calibri" w:eastAsia="仿宋_GB2312" w:cs="仿宋_GB2312"/>
          <w:kern w:val="0"/>
          <w:sz w:val="32"/>
          <w:szCs w:val="32"/>
        </w:rPr>
        <w:t>电汇或银行转账的银行回执单（加盖企业公章）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both"/>
      </w:pPr>
      <w:r>
        <w:rPr>
          <w:rFonts w:hint="eastAsia" w:ascii="仿宋" w:hAnsi="仿宋" w:eastAsia="仿宋" w:cs="仿宋"/>
          <w:kern w:val="0"/>
          <w:sz w:val="32"/>
          <w:szCs w:val="32"/>
        </w:rPr>
        <w:t>3、</w:t>
      </w:r>
      <w:r>
        <w:rPr>
          <w:rFonts w:hint="eastAsia" w:ascii="仿宋_GB2312" w:hAnsi="Calibri" w:eastAsia="仿宋_GB2312" w:cs="仿宋_GB2312"/>
          <w:kern w:val="0"/>
          <w:sz w:val="32"/>
          <w:szCs w:val="32"/>
        </w:rPr>
        <w:t>企业的银行基本存款账户信息或开户许可证复印件（加盖投标企业公章）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both"/>
      </w:pPr>
      <w:r>
        <w:rPr>
          <w:rFonts w:hint="eastAsia" w:ascii="仿宋" w:hAnsi="仿宋" w:eastAsia="仿宋" w:cs="仿宋"/>
          <w:kern w:val="0"/>
          <w:sz w:val="32"/>
          <w:szCs w:val="32"/>
        </w:rPr>
        <w:t>（五）</w:t>
      </w:r>
      <w:r>
        <w:rPr>
          <w:rFonts w:hint="eastAsia" w:ascii="仿宋_GB2312" w:hAnsi="Calibri" w:eastAsia="仿宋_GB2312" w:cs="仿宋_GB2312"/>
          <w:kern w:val="0"/>
          <w:sz w:val="32"/>
          <w:szCs w:val="32"/>
        </w:rPr>
        <w:t>项目延期开标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both"/>
      </w:pPr>
      <w:r>
        <w:rPr>
          <w:rFonts w:hint="eastAsia" w:ascii="仿宋" w:hAnsi="仿宋" w:eastAsia="仿宋" w:cs="仿宋"/>
          <w:kern w:val="0"/>
          <w:sz w:val="32"/>
          <w:szCs w:val="32"/>
        </w:rPr>
        <w:t>1、</w:t>
      </w:r>
      <w:r>
        <w:rPr>
          <w:rFonts w:hint="eastAsia" w:ascii="仿宋_GB2312" w:hAnsi="Calibri" w:eastAsia="仿宋_GB2312" w:cs="仿宋_GB2312"/>
          <w:kern w:val="0"/>
          <w:sz w:val="32"/>
          <w:szCs w:val="32"/>
          <w:lang w:eastAsia="zh-CN"/>
        </w:rPr>
        <w:t>长汀县阳光交易服务平台</w:t>
      </w:r>
      <w:r>
        <w:rPr>
          <w:rFonts w:hint="eastAsia" w:ascii="仿宋_GB2312" w:hAnsi="Calibri" w:eastAsia="仿宋_GB2312" w:cs="仿宋_GB2312"/>
          <w:kern w:val="0"/>
          <w:sz w:val="32"/>
          <w:szCs w:val="32"/>
        </w:rPr>
        <w:t>保证金退款申请表（详见附件）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both"/>
      </w:pPr>
      <w:r>
        <w:rPr>
          <w:rFonts w:hint="eastAsia" w:ascii="仿宋" w:hAnsi="仿宋" w:eastAsia="仿宋" w:cs="仿宋"/>
          <w:kern w:val="0"/>
          <w:sz w:val="32"/>
          <w:szCs w:val="32"/>
        </w:rPr>
        <w:t>2、</w:t>
      </w:r>
      <w:r>
        <w:rPr>
          <w:rFonts w:hint="eastAsia" w:ascii="仿宋_GB2312" w:hAnsi="Calibri" w:eastAsia="仿宋_GB2312" w:cs="仿宋_GB2312"/>
          <w:kern w:val="0"/>
          <w:sz w:val="32"/>
          <w:szCs w:val="32"/>
        </w:rPr>
        <w:t>电汇或银行转账的银行回执单（加盖企业公章）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both"/>
      </w:pPr>
      <w:r>
        <w:rPr>
          <w:rFonts w:hint="eastAsia" w:ascii="仿宋" w:hAnsi="仿宋" w:eastAsia="仿宋" w:cs="仿宋"/>
          <w:kern w:val="0"/>
          <w:sz w:val="32"/>
          <w:szCs w:val="32"/>
        </w:rPr>
        <w:t>3、</w:t>
      </w:r>
      <w:r>
        <w:rPr>
          <w:rFonts w:hint="eastAsia" w:ascii="仿宋_GB2312" w:hAnsi="Calibri" w:eastAsia="仿宋_GB2312" w:cs="仿宋_GB2312"/>
          <w:kern w:val="0"/>
          <w:sz w:val="32"/>
          <w:szCs w:val="32"/>
        </w:rPr>
        <w:t>企业的银行基本存款账户信息或开户许可证（复印件加盖投标企业公章）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黑体" w:hAnsi="宋体" w:eastAsia="黑体" w:cs="黑体"/>
          <w:kern w:val="2"/>
          <w:sz w:val="32"/>
          <w:szCs w:val="32"/>
          <w:lang w:val="en-US" w:eastAsia="zh-CN" w:bidi="ar"/>
        </w:rPr>
        <w:t>三、承诺时限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both"/>
      </w:pPr>
      <w:r>
        <w:rPr>
          <w:rFonts w:hint="eastAsia" w:ascii="仿宋_GB2312" w:hAnsi="Calibri" w:eastAsia="仿宋_GB2312" w:cs="仿宋_GB2312"/>
          <w:kern w:val="0"/>
          <w:sz w:val="32"/>
          <w:szCs w:val="32"/>
        </w:rPr>
        <w:t>自收到申请次日起五个工作日内完成退款（转错保证金账号除外）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both"/>
        <w:rPr>
          <w:rFonts w:hint="eastAsia" w:eastAsia="仿宋_GB2312"/>
          <w:lang w:eastAsia="zh-CN"/>
        </w:rPr>
      </w:pPr>
      <w:r>
        <w:rPr>
          <w:rFonts w:hint="eastAsia" w:ascii="仿宋_GB2312" w:hAnsi="Calibri" w:eastAsia="仿宋_GB2312" w:cs="仿宋_GB2312"/>
          <w:kern w:val="0"/>
          <w:sz w:val="32"/>
          <w:szCs w:val="32"/>
        </w:rPr>
        <w:t>转错保证金账号承诺时限</w:t>
      </w:r>
      <w:r>
        <w:rPr>
          <w:rFonts w:hint="eastAsia" w:ascii="仿宋_GB2312" w:hAnsi="Calibri" w:eastAsia="仿宋_GB2312" w:cs="仿宋_GB2312"/>
          <w:kern w:val="0"/>
          <w:sz w:val="32"/>
          <w:szCs w:val="32"/>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both"/>
      </w:pPr>
      <w:r>
        <w:rPr>
          <w:rFonts w:hint="eastAsia" w:ascii="仿宋_GB2312" w:hAnsi="Calibri" w:eastAsia="仿宋_GB2312" w:cs="仿宋_GB2312"/>
          <w:kern w:val="0"/>
          <w:sz w:val="32"/>
          <w:szCs w:val="32"/>
        </w:rPr>
        <w:t>1、转入账号所对应的项目已开标但公示期未结束，公示期结束后</w:t>
      </w:r>
      <w:r>
        <w:rPr>
          <w:rFonts w:hint="eastAsia" w:ascii="仿宋_GB2312" w:hAnsi="Calibri" w:eastAsia="仿宋_GB2312" w:cs="仿宋_GB2312"/>
          <w:kern w:val="0"/>
          <w:sz w:val="32"/>
          <w:szCs w:val="32"/>
          <w:lang w:eastAsia="zh-CN"/>
        </w:rPr>
        <w:t>收到</w:t>
      </w:r>
      <w:r>
        <w:rPr>
          <w:rFonts w:hint="eastAsia" w:ascii="仿宋_GB2312" w:hAnsi="Calibri" w:eastAsia="仿宋_GB2312" w:cs="仿宋_GB2312"/>
          <w:kern w:val="0"/>
          <w:sz w:val="32"/>
          <w:szCs w:val="32"/>
        </w:rPr>
        <w:t>申请次日</w:t>
      </w:r>
      <w:r>
        <w:rPr>
          <w:rFonts w:hint="eastAsia" w:ascii="仿宋_GB2312" w:hAnsi="Calibri" w:eastAsia="仿宋_GB2312" w:cs="仿宋_GB2312"/>
          <w:kern w:val="0"/>
          <w:sz w:val="32"/>
          <w:szCs w:val="32"/>
          <w:lang w:eastAsia="zh-CN"/>
        </w:rPr>
        <w:t>起</w:t>
      </w:r>
      <w:r>
        <w:rPr>
          <w:rFonts w:hint="eastAsia" w:ascii="仿宋_GB2312" w:hAnsi="Calibri" w:eastAsia="仿宋_GB2312" w:cs="仿宋_GB2312"/>
          <w:kern w:val="0"/>
          <w:sz w:val="32"/>
          <w:szCs w:val="32"/>
        </w:rPr>
        <w:t>五个工作日内完成退款。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both"/>
      </w:pPr>
      <w:r>
        <w:rPr>
          <w:rFonts w:hint="eastAsia" w:ascii="仿宋_GB2312" w:hAnsi="Calibri" w:eastAsia="仿宋_GB2312" w:cs="仿宋_GB2312"/>
          <w:kern w:val="0"/>
          <w:sz w:val="32"/>
          <w:szCs w:val="32"/>
        </w:rPr>
        <w:t>2、转入账号所对应的项目已开标且公示期已结束，自收到申请次日起五个工作日内完成退款。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both"/>
      </w:pPr>
      <w:r>
        <w:rPr>
          <w:rFonts w:hint="eastAsia" w:ascii="仿宋_GB2312" w:hAnsi="Calibri" w:eastAsia="仿宋_GB2312" w:cs="仿宋_GB2312"/>
          <w:kern w:val="0"/>
          <w:sz w:val="32"/>
          <w:szCs w:val="32"/>
        </w:rPr>
        <w:t>3、转入账号所对应的项目未开标，自收到申请次日起十个工作日内完成退款。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黑体" w:hAnsi="宋体" w:eastAsia="黑体" w:cs="黑体"/>
          <w:kern w:val="2"/>
          <w:sz w:val="32"/>
          <w:szCs w:val="32"/>
          <w:lang w:val="en-US" w:eastAsia="zh-CN" w:bidi="ar"/>
        </w:rPr>
        <w:t>四、联系方式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default"/>
          <w:lang w:val="en-US"/>
        </w:rPr>
      </w:pPr>
      <w:r>
        <w:rPr>
          <w:rFonts w:hint="eastAsia" w:ascii="仿宋" w:hAnsi="仿宋" w:eastAsia="仿宋" w:cs="仿宋"/>
          <w:kern w:val="2"/>
          <w:sz w:val="32"/>
          <w:szCs w:val="32"/>
          <w:lang w:val="en-US" w:eastAsia="zh-CN" w:bidi="ar"/>
        </w:rPr>
        <w:t>财务室：0597-6869165</w:t>
      </w:r>
    </w:p>
    <w:p>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2532E2"/>
    <w:rsid w:val="00323B43"/>
    <w:rsid w:val="003D37D8"/>
    <w:rsid w:val="00426133"/>
    <w:rsid w:val="004358AB"/>
    <w:rsid w:val="008B7726"/>
    <w:rsid w:val="00D31D50"/>
    <w:rsid w:val="24945A26"/>
    <w:rsid w:val="3793586B"/>
    <w:rsid w:val="4C282179"/>
    <w:rsid w:val="520B42D7"/>
    <w:rsid w:val="7BD12A08"/>
    <w:rsid w:val="7E9C1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semiHidden/>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22"/>
  </w:style>
  <w:style w:type="character" w:styleId="7">
    <w:name w:val="FollowedHyperlink"/>
    <w:basedOn w:val="5"/>
    <w:semiHidden/>
    <w:unhideWhenUsed/>
    <w:qFormat/>
    <w:uiPriority w:val="99"/>
    <w:rPr>
      <w:color w:val="800080"/>
      <w:u w:val="none"/>
    </w:rPr>
  </w:style>
  <w:style w:type="character" w:styleId="8">
    <w:name w:val="Emphasis"/>
    <w:basedOn w:val="5"/>
    <w:qFormat/>
    <w:uiPriority w:val="20"/>
  </w:style>
  <w:style w:type="character" w:styleId="9">
    <w:name w:val="HTML Definition"/>
    <w:basedOn w:val="5"/>
    <w:semiHidden/>
    <w:unhideWhenUsed/>
    <w:qFormat/>
    <w:uiPriority w:val="99"/>
  </w:style>
  <w:style w:type="character" w:styleId="10">
    <w:name w:val="HTML Typewriter"/>
    <w:basedOn w:val="5"/>
    <w:semiHidden/>
    <w:unhideWhenUsed/>
    <w:qFormat/>
    <w:uiPriority w:val="99"/>
    <w:rPr>
      <w:rFonts w:hint="default" w:ascii="monospace" w:hAnsi="monospace" w:eastAsia="monospace" w:cs="monospace"/>
      <w:sz w:val="20"/>
    </w:rPr>
  </w:style>
  <w:style w:type="character" w:styleId="11">
    <w:name w:val="HTML Acronym"/>
    <w:basedOn w:val="5"/>
    <w:semiHidden/>
    <w:unhideWhenUsed/>
    <w:qFormat/>
    <w:uiPriority w:val="99"/>
  </w:style>
  <w:style w:type="character" w:styleId="12">
    <w:name w:val="HTML Variable"/>
    <w:basedOn w:val="5"/>
    <w:semiHidden/>
    <w:unhideWhenUsed/>
    <w:qFormat/>
    <w:uiPriority w:val="99"/>
  </w:style>
  <w:style w:type="character" w:styleId="13">
    <w:name w:val="Hyperlink"/>
    <w:basedOn w:val="5"/>
    <w:semiHidden/>
    <w:unhideWhenUsed/>
    <w:qFormat/>
    <w:uiPriority w:val="99"/>
    <w:rPr>
      <w:color w:val="0000FF"/>
      <w:u w:val="none"/>
    </w:rPr>
  </w:style>
  <w:style w:type="character" w:styleId="14">
    <w:name w:val="HTML Code"/>
    <w:basedOn w:val="5"/>
    <w:semiHidden/>
    <w:unhideWhenUsed/>
    <w:qFormat/>
    <w:uiPriority w:val="99"/>
    <w:rPr>
      <w:rFonts w:hint="default" w:ascii="monospace" w:hAnsi="monospace" w:eastAsia="monospace" w:cs="monospace"/>
      <w:sz w:val="20"/>
    </w:rPr>
  </w:style>
  <w:style w:type="character" w:styleId="15">
    <w:name w:val="HTML Cite"/>
    <w:basedOn w:val="5"/>
    <w:semiHidden/>
    <w:unhideWhenUsed/>
    <w:qFormat/>
    <w:uiPriority w:val="99"/>
  </w:style>
  <w:style w:type="character" w:styleId="16">
    <w:name w:val="HTML Keyboard"/>
    <w:basedOn w:val="5"/>
    <w:semiHidden/>
    <w:unhideWhenUsed/>
    <w:qFormat/>
    <w:uiPriority w:val="99"/>
    <w:rPr>
      <w:rFonts w:hint="default" w:ascii="monospace" w:hAnsi="monospace" w:eastAsia="monospace" w:cs="monospace"/>
      <w:sz w:val="20"/>
    </w:rPr>
  </w:style>
  <w:style w:type="character" w:styleId="17">
    <w:name w:val="HTML Sample"/>
    <w:basedOn w:val="5"/>
    <w:semiHidden/>
    <w:unhideWhenUsed/>
    <w:qFormat/>
    <w:uiPriority w:val="99"/>
    <w:rPr>
      <w:rFonts w:ascii="monospace" w:hAnsi="monospace" w:eastAsia="monospace" w:cs="monospace"/>
    </w:rPr>
  </w:style>
  <w:style w:type="character" w:customStyle="1" w:styleId="18">
    <w:name w:val="first-child"/>
    <w:basedOn w:val="5"/>
    <w:qFormat/>
    <w:uiPriority w:val="0"/>
  </w:style>
  <w:style w:type="character" w:customStyle="1" w:styleId="19">
    <w:name w:val="layui-this"/>
    <w:basedOn w:val="5"/>
    <w:qFormat/>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2023-05-23T08:42:27Z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